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9BC9" w14:textId="2B9FBEED" w:rsidR="0042331D" w:rsidRPr="00A846F8" w:rsidRDefault="00F46F68">
      <w:pPr>
        <w:rPr>
          <w:rFonts w:asciiTheme="majorHAnsi" w:hAnsiTheme="majorHAnsi" w:cstheme="majorHAnsi"/>
        </w:rPr>
      </w:pPr>
    </w:p>
    <w:p w14:paraId="2A6C4717" w14:textId="16F011A7" w:rsidR="00A846F8" w:rsidRPr="00A846F8" w:rsidRDefault="00A846F8">
      <w:pPr>
        <w:rPr>
          <w:rFonts w:asciiTheme="majorHAnsi" w:hAnsiTheme="majorHAnsi" w:cstheme="majorHAnsi"/>
        </w:rPr>
      </w:pPr>
    </w:p>
    <w:p w14:paraId="016A113A" w14:textId="77777777" w:rsidR="00A846F8" w:rsidRPr="00A846F8" w:rsidRDefault="00A846F8" w:rsidP="00A846F8">
      <w:pPr>
        <w:shd w:val="clear" w:color="auto" w:fill="FFFFFF"/>
        <w:spacing w:after="240"/>
        <w:outlineLvl w:val="2"/>
        <w:rPr>
          <w:rFonts w:asciiTheme="majorHAnsi" w:eastAsia="Times New Roman" w:hAnsiTheme="majorHAnsi" w:cstheme="majorHAnsi"/>
          <w:b/>
          <w:bCs/>
          <w:caps/>
          <w:color w:val="000000"/>
          <w:sz w:val="27"/>
          <w:szCs w:val="27"/>
          <w:lang w:eastAsia="de-AT"/>
        </w:rPr>
      </w:pPr>
      <w:r w:rsidRPr="00A846F8">
        <w:rPr>
          <w:rFonts w:asciiTheme="majorHAnsi" w:eastAsia="Times New Roman" w:hAnsiTheme="majorHAnsi" w:cstheme="majorHAnsi"/>
          <w:b/>
          <w:bCs/>
          <w:caps/>
          <w:color w:val="000000"/>
          <w:sz w:val="27"/>
          <w:szCs w:val="27"/>
          <w:lang w:eastAsia="de-AT"/>
        </w:rPr>
        <w:t>PHASEN, DIE AUFTRETEN KÖNNEN</w:t>
      </w:r>
    </w:p>
    <w:p w14:paraId="5D239092" w14:textId="77777777" w:rsidR="00A846F8" w:rsidRPr="00A846F8" w:rsidRDefault="00A846F8" w:rsidP="00A846F8">
      <w:pPr>
        <w:shd w:val="clear" w:color="auto" w:fill="FFFFFF"/>
        <w:spacing w:after="360"/>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Wird ein Mensch mit einer schwierigen Nachricht wie z.B. der Diagnose einer lebensverkürzenden oder schweren Krankheit konfrontiert, reagiert er individuell. Bei aller Unterschiedlichkeit können auch Gemeinsamkeiten erkannt werden, sodass man von Phasen der Bewältigung spricht, die unterschiedlich ausgeprägt auftreten (können).</w:t>
      </w:r>
    </w:p>
    <w:p w14:paraId="386E1B37" w14:textId="77777777" w:rsidR="00A846F8" w:rsidRPr="00A846F8" w:rsidRDefault="00A846F8" w:rsidP="00A846F8">
      <w:pPr>
        <w:shd w:val="clear" w:color="auto" w:fill="FFFFFF"/>
        <w:spacing w:after="360"/>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 xml:space="preserve">Menschen leben, bis der Tod eintritt. Sie verwenden für sich selber kaum oder nie den Begriff „Ich bin ein Sterbender“. Der Weg bleibt bis zuletzt ein höchst individueller. Manche leben ihn in den verbreiteten Phasenmodellen oder ganz anders. </w:t>
      </w:r>
    </w:p>
    <w:p w14:paraId="7316DAAE" w14:textId="77777777" w:rsidR="00A846F8" w:rsidRPr="00A846F8" w:rsidRDefault="00A846F8" w:rsidP="00A846F8">
      <w:pPr>
        <w:shd w:val="clear" w:color="auto" w:fill="FFFFFF"/>
        <w:spacing w:after="360"/>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Ebenso individuell ist die Dauer. Auch wenn wir Erklärungen wünschen, entzieht sich das menschliche Lebenspotenzial jeder exakten Berechnung. Und schlussendlich macht das auch die Individualität möglich.</w:t>
      </w:r>
    </w:p>
    <w:p w14:paraId="4ED02CE9" w14:textId="77777777" w:rsidR="00A846F8" w:rsidRPr="00A846F8" w:rsidRDefault="00A846F8" w:rsidP="00A846F8">
      <w:pPr>
        <w:shd w:val="clear" w:color="auto" w:fill="FFFFFF"/>
        <w:spacing w:after="360"/>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Wenn es um das Sterben geht, ist zu beobachten, dass sich das Interesse von außen nach innen verlagert. Was wie ein passiver Rückzug wirkt, kann auch ein höchst aktives inneres Geschehen sein. Die Sterbenden sind dabei ganz bei sich und vollkommen mit sich selbst beschäftigt. Dass sie dies bleiben können, ist die vorrangige Aufgabe von Betreuung, Pflege und Medizin. Weder Atemnot, Schmerzen und Übelkeit noch unbequemes Liegen sollen diesen Zustand höchster Konzentration stören können.</w:t>
      </w:r>
    </w:p>
    <w:p w14:paraId="2357CF79" w14:textId="77777777" w:rsidR="00A846F8" w:rsidRPr="00A846F8" w:rsidRDefault="00A846F8" w:rsidP="00A846F8">
      <w:pPr>
        <w:spacing w:after="240"/>
        <w:outlineLvl w:val="2"/>
        <w:rPr>
          <w:rFonts w:asciiTheme="majorHAnsi" w:eastAsia="Times New Roman" w:hAnsiTheme="majorHAnsi" w:cstheme="majorHAnsi"/>
          <w:b/>
          <w:bCs/>
          <w:caps/>
          <w:color w:val="000000"/>
          <w:sz w:val="27"/>
          <w:szCs w:val="27"/>
          <w:lang w:eastAsia="de-AT"/>
        </w:rPr>
      </w:pPr>
      <w:r w:rsidRPr="00A846F8">
        <w:rPr>
          <w:rFonts w:asciiTheme="majorHAnsi" w:eastAsia="Times New Roman" w:hAnsiTheme="majorHAnsi" w:cstheme="majorHAnsi"/>
          <w:b/>
          <w:bCs/>
          <w:caps/>
          <w:color w:val="000000"/>
          <w:sz w:val="27"/>
          <w:szCs w:val="27"/>
          <w:lang w:eastAsia="de-AT"/>
        </w:rPr>
        <w:t>VIER PHASEN NACH JONEN-THIELEMANN</w:t>
      </w:r>
    </w:p>
    <w:p w14:paraId="7ABF0CDA" w14:textId="77777777" w:rsidR="00A846F8" w:rsidRPr="00A846F8" w:rsidRDefault="00A846F8" w:rsidP="00A846F8">
      <w:pPr>
        <w:spacing w:after="360"/>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Die deutsche Palliativmedizinerin Ingeborg Jonen-Thielemann hat aus ihrer langjährigen Erfahrung auf </w:t>
      </w:r>
      <w:r w:rsidRPr="00A846F8">
        <w:rPr>
          <w:rFonts w:asciiTheme="majorHAnsi" w:eastAsia="Times New Roman" w:hAnsiTheme="majorHAnsi" w:cstheme="majorHAnsi"/>
          <w:b/>
          <w:bCs/>
          <w:color w:val="000000"/>
          <w:szCs w:val="24"/>
          <w:lang w:eastAsia="de-AT"/>
        </w:rPr>
        <w:t>4 typische Phasen in der letzten Lebenszeit </w:t>
      </w:r>
      <w:r w:rsidRPr="00A846F8">
        <w:rPr>
          <w:rFonts w:asciiTheme="majorHAnsi" w:eastAsia="Times New Roman" w:hAnsiTheme="majorHAnsi" w:cstheme="majorHAnsi"/>
          <w:color w:val="000000"/>
          <w:szCs w:val="24"/>
          <w:lang w:eastAsia="de-AT"/>
        </w:rPr>
        <w:t>unheilbar Kranker geschlossen. Ihr Gliederung orientiert sich an den Aktivitäten, die dem bzw. der Kranken noch möglich sind. Die Beschreibung ist aus ihrem 2000 veröffentlichten Beitrag „Die letzte Lebenszeit unheilbar Kranker – Definition von Phasen“ (Zeitschrift für Palliativmedizin S1, 1. Jg., Sept 2000, S21; M1.1):</w:t>
      </w:r>
    </w:p>
    <w:p w14:paraId="0E5CF45F" w14:textId="77777777" w:rsidR="00A846F8" w:rsidRPr="00A846F8" w:rsidRDefault="00A846F8" w:rsidP="00A846F8">
      <w:pPr>
        <w:numPr>
          <w:ilvl w:val="0"/>
          <w:numId w:val="2"/>
        </w:numPr>
        <w:spacing w:before="100" w:beforeAutospacing="1" w:after="100" w:afterAutospacing="1" w:line="240" w:lineRule="auto"/>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In der sogenannten </w:t>
      </w:r>
      <w:r w:rsidRPr="00A846F8">
        <w:rPr>
          <w:rFonts w:asciiTheme="majorHAnsi" w:eastAsia="Times New Roman" w:hAnsiTheme="majorHAnsi" w:cstheme="majorHAnsi"/>
          <w:b/>
          <w:bCs/>
          <w:color w:val="000000"/>
          <w:szCs w:val="24"/>
          <w:lang w:eastAsia="de-AT"/>
        </w:rPr>
        <w:t>Rehabilitationsphase</w:t>
      </w:r>
      <w:r w:rsidRPr="00A846F8">
        <w:rPr>
          <w:rFonts w:asciiTheme="majorHAnsi" w:eastAsia="Times New Roman" w:hAnsiTheme="majorHAnsi" w:cstheme="majorHAnsi"/>
          <w:color w:val="000000"/>
          <w:szCs w:val="24"/>
          <w:lang w:eastAsia="de-AT"/>
        </w:rPr>
        <w:t> ist den Kranken die </w:t>
      </w:r>
      <w:r w:rsidRPr="00A846F8">
        <w:rPr>
          <w:rFonts w:asciiTheme="majorHAnsi" w:eastAsia="Times New Roman" w:hAnsiTheme="majorHAnsi" w:cstheme="majorHAnsi"/>
          <w:b/>
          <w:bCs/>
          <w:color w:val="000000"/>
          <w:szCs w:val="24"/>
          <w:lang w:eastAsia="de-AT"/>
        </w:rPr>
        <w:t>weitgehend normale Teilnahme am gesellschaftlichen Leben</w:t>
      </w:r>
      <w:r w:rsidRPr="00A846F8">
        <w:rPr>
          <w:rFonts w:asciiTheme="majorHAnsi" w:eastAsia="Times New Roman" w:hAnsiTheme="majorHAnsi" w:cstheme="majorHAnsi"/>
          <w:color w:val="000000"/>
          <w:szCs w:val="24"/>
          <w:lang w:eastAsia="de-AT"/>
        </w:rPr>
        <w:t> möglich. Sie kann Monate, ja Jahre dauern. In der Begleitung sind Symptomkontrolle und die Erhaltung der Mobilität gefragt.</w:t>
      </w:r>
    </w:p>
    <w:p w14:paraId="1F1786A7" w14:textId="77777777" w:rsidR="00A846F8" w:rsidRPr="00A846F8" w:rsidRDefault="00A846F8" w:rsidP="00A846F8">
      <w:pPr>
        <w:numPr>
          <w:ilvl w:val="0"/>
          <w:numId w:val="2"/>
        </w:numPr>
        <w:spacing w:before="100" w:beforeAutospacing="1" w:after="100" w:afterAutospacing="1" w:line="240" w:lineRule="auto"/>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In den letzten Lebenswochen oder -monaten der anschließenden </w:t>
      </w:r>
      <w:r w:rsidRPr="00A846F8">
        <w:rPr>
          <w:rFonts w:asciiTheme="majorHAnsi" w:eastAsia="Times New Roman" w:hAnsiTheme="majorHAnsi" w:cstheme="majorHAnsi"/>
          <w:b/>
          <w:bCs/>
          <w:color w:val="000000"/>
          <w:szCs w:val="24"/>
          <w:lang w:eastAsia="de-AT"/>
        </w:rPr>
        <w:t>Präterminalphase</w:t>
      </w:r>
      <w:r w:rsidRPr="00A846F8">
        <w:rPr>
          <w:rFonts w:asciiTheme="majorHAnsi" w:eastAsia="Times New Roman" w:hAnsiTheme="majorHAnsi" w:cstheme="majorHAnsi"/>
          <w:color w:val="000000"/>
          <w:szCs w:val="24"/>
          <w:lang w:eastAsia="de-AT"/>
        </w:rPr>
        <w:t> ist ein aktives Leben </w:t>
      </w:r>
      <w:r w:rsidRPr="00A846F8">
        <w:rPr>
          <w:rFonts w:asciiTheme="majorHAnsi" w:eastAsia="Times New Roman" w:hAnsiTheme="majorHAnsi" w:cstheme="majorHAnsi"/>
          <w:b/>
          <w:bCs/>
          <w:color w:val="000000"/>
          <w:szCs w:val="24"/>
          <w:lang w:eastAsia="de-AT"/>
        </w:rPr>
        <w:t>immer eingeschränkter</w:t>
      </w:r>
      <w:r w:rsidRPr="00A846F8">
        <w:rPr>
          <w:rFonts w:asciiTheme="majorHAnsi" w:eastAsia="Times New Roman" w:hAnsiTheme="majorHAnsi" w:cstheme="majorHAnsi"/>
          <w:color w:val="000000"/>
          <w:szCs w:val="24"/>
          <w:lang w:eastAsia="de-AT"/>
        </w:rPr>
        <w:t> möglich.</w:t>
      </w:r>
    </w:p>
    <w:p w14:paraId="6495799A" w14:textId="77777777" w:rsidR="00A846F8" w:rsidRPr="00A846F8" w:rsidRDefault="00A846F8" w:rsidP="00A846F8">
      <w:pPr>
        <w:numPr>
          <w:ilvl w:val="0"/>
          <w:numId w:val="2"/>
        </w:numPr>
        <w:spacing w:before="100" w:beforeAutospacing="1" w:after="100" w:afterAutospacing="1" w:line="240" w:lineRule="auto"/>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Die </w:t>
      </w:r>
      <w:r w:rsidRPr="00A846F8">
        <w:rPr>
          <w:rFonts w:asciiTheme="majorHAnsi" w:eastAsia="Times New Roman" w:hAnsiTheme="majorHAnsi" w:cstheme="majorHAnsi"/>
          <w:b/>
          <w:bCs/>
          <w:color w:val="000000"/>
          <w:szCs w:val="24"/>
          <w:lang w:eastAsia="de-AT"/>
        </w:rPr>
        <w:t>Terminalphase</w:t>
      </w:r>
      <w:r w:rsidRPr="00A846F8">
        <w:rPr>
          <w:rFonts w:asciiTheme="majorHAnsi" w:eastAsia="Times New Roman" w:hAnsiTheme="majorHAnsi" w:cstheme="majorHAnsi"/>
          <w:color w:val="000000"/>
          <w:szCs w:val="24"/>
          <w:lang w:eastAsia="de-AT"/>
        </w:rPr>
        <w:t> erstreckt sich über wenige Tage oder Wochen. Sie geht mit </w:t>
      </w:r>
      <w:r w:rsidRPr="00A846F8">
        <w:rPr>
          <w:rFonts w:asciiTheme="majorHAnsi" w:eastAsia="Times New Roman" w:hAnsiTheme="majorHAnsi" w:cstheme="majorHAnsi"/>
          <w:b/>
          <w:bCs/>
          <w:color w:val="000000"/>
          <w:szCs w:val="24"/>
          <w:lang w:eastAsia="de-AT"/>
        </w:rPr>
        <w:t>Bettlägerigkeit</w:t>
      </w:r>
      <w:r w:rsidRPr="00A846F8">
        <w:rPr>
          <w:rFonts w:asciiTheme="majorHAnsi" w:eastAsia="Times New Roman" w:hAnsiTheme="majorHAnsi" w:cstheme="majorHAnsi"/>
          <w:color w:val="000000"/>
          <w:szCs w:val="24"/>
          <w:lang w:eastAsia="de-AT"/>
        </w:rPr>
        <w:t> und beeinträchtigter Handlungsfähigkeit einher. Die Symptome können rasch wechseln, die Sterbenden </w:t>
      </w:r>
      <w:r w:rsidRPr="00A846F8">
        <w:rPr>
          <w:rFonts w:asciiTheme="majorHAnsi" w:eastAsia="Times New Roman" w:hAnsiTheme="majorHAnsi" w:cstheme="majorHAnsi"/>
          <w:b/>
          <w:bCs/>
          <w:color w:val="000000"/>
          <w:szCs w:val="24"/>
          <w:lang w:eastAsia="de-AT"/>
        </w:rPr>
        <w:t>ziehen sich innerlich zurück</w:t>
      </w:r>
      <w:r w:rsidRPr="00A846F8">
        <w:rPr>
          <w:rFonts w:asciiTheme="majorHAnsi" w:eastAsia="Times New Roman" w:hAnsiTheme="majorHAnsi" w:cstheme="majorHAnsi"/>
          <w:color w:val="000000"/>
          <w:szCs w:val="24"/>
          <w:lang w:eastAsia="de-AT"/>
        </w:rPr>
        <w:t> – oder verfallen in </w:t>
      </w:r>
      <w:r w:rsidRPr="00A846F8">
        <w:rPr>
          <w:rFonts w:asciiTheme="majorHAnsi" w:eastAsia="Times New Roman" w:hAnsiTheme="majorHAnsi" w:cstheme="majorHAnsi"/>
          <w:b/>
          <w:bCs/>
          <w:color w:val="000000"/>
          <w:szCs w:val="24"/>
          <w:lang w:eastAsia="de-AT"/>
        </w:rPr>
        <w:t>Ruhelosigkeit</w:t>
      </w:r>
      <w:r w:rsidRPr="00A846F8">
        <w:rPr>
          <w:rFonts w:asciiTheme="majorHAnsi" w:eastAsia="Times New Roman" w:hAnsiTheme="majorHAnsi" w:cstheme="majorHAnsi"/>
          <w:color w:val="000000"/>
          <w:szCs w:val="24"/>
          <w:lang w:eastAsia="de-AT"/>
        </w:rPr>
        <w:t>.</w:t>
      </w:r>
    </w:p>
    <w:p w14:paraId="5566E6FB" w14:textId="77777777" w:rsidR="00A846F8" w:rsidRPr="00A846F8" w:rsidRDefault="00A846F8" w:rsidP="00A846F8">
      <w:pPr>
        <w:numPr>
          <w:ilvl w:val="0"/>
          <w:numId w:val="2"/>
        </w:numPr>
        <w:spacing w:before="100" w:beforeAutospacing="1" w:after="100" w:afterAutospacing="1" w:line="240" w:lineRule="auto"/>
        <w:rPr>
          <w:rFonts w:asciiTheme="majorHAnsi" w:eastAsia="Times New Roman" w:hAnsiTheme="majorHAnsi" w:cstheme="majorHAnsi"/>
          <w:color w:val="000000"/>
          <w:szCs w:val="24"/>
          <w:lang w:eastAsia="de-AT"/>
        </w:rPr>
      </w:pPr>
      <w:r w:rsidRPr="00A846F8">
        <w:rPr>
          <w:rFonts w:asciiTheme="majorHAnsi" w:eastAsia="Times New Roman" w:hAnsiTheme="majorHAnsi" w:cstheme="majorHAnsi"/>
          <w:color w:val="000000"/>
          <w:szCs w:val="24"/>
          <w:lang w:eastAsia="de-AT"/>
        </w:rPr>
        <w:t>In den letzten Stunden der </w:t>
      </w:r>
      <w:r w:rsidRPr="00A846F8">
        <w:rPr>
          <w:rFonts w:asciiTheme="majorHAnsi" w:eastAsia="Times New Roman" w:hAnsiTheme="majorHAnsi" w:cstheme="majorHAnsi"/>
          <w:b/>
          <w:bCs/>
          <w:color w:val="000000"/>
          <w:szCs w:val="24"/>
          <w:lang w:eastAsia="de-AT"/>
        </w:rPr>
        <w:t>Sterbephase</w:t>
      </w:r>
      <w:r w:rsidRPr="00A846F8">
        <w:rPr>
          <w:rFonts w:asciiTheme="majorHAnsi" w:eastAsia="Times New Roman" w:hAnsiTheme="majorHAnsi" w:cstheme="majorHAnsi"/>
          <w:color w:val="000000"/>
          <w:szCs w:val="24"/>
          <w:lang w:eastAsia="de-AT"/>
        </w:rPr>
        <w:t> ist das </w:t>
      </w:r>
      <w:r w:rsidRPr="00A846F8">
        <w:rPr>
          <w:rFonts w:asciiTheme="majorHAnsi" w:eastAsia="Times New Roman" w:hAnsiTheme="majorHAnsi" w:cstheme="majorHAnsi"/>
          <w:b/>
          <w:bCs/>
          <w:color w:val="000000"/>
          <w:szCs w:val="24"/>
          <w:lang w:eastAsia="de-AT"/>
        </w:rPr>
        <w:t>Bewusstsein ganz auf die Innenwelt</w:t>
      </w:r>
      <w:r w:rsidRPr="00A846F8">
        <w:rPr>
          <w:rFonts w:asciiTheme="majorHAnsi" w:eastAsia="Times New Roman" w:hAnsiTheme="majorHAnsi" w:cstheme="majorHAnsi"/>
          <w:color w:val="000000"/>
          <w:szCs w:val="24"/>
          <w:lang w:eastAsia="de-AT"/>
        </w:rPr>
        <w:t> gerichtet. Der Mensch liegt buchstäblich im Sterben.</w:t>
      </w:r>
    </w:p>
    <w:p w14:paraId="67B80372" w14:textId="77777777" w:rsidR="00A846F8" w:rsidRPr="00A846F8" w:rsidRDefault="00A846F8" w:rsidP="00A846F8">
      <w:pPr>
        <w:spacing w:before="100" w:beforeAutospacing="1" w:after="100" w:afterAutospacing="1"/>
        <w:ind w:left="720"/>
        <w:rPr>
          <w:rFonts w:asciiTheme="majorHAnsi" w:eastAsia="Times New Roman" w:hAnsiTheme="majorHAnsi" w:cstheme="majorHAnsi"/>
          <w:color w:val="000000"/>
          <w:szCs w:val="24"/>
          <w:lang w:eastAsia="de-AT"/>
        </w:rPr>
      </w:pPr>
    </w:p>
    <w:p w14:paraId="19692B92" w14:textId="77777777" w:rsidR="00A846F8" w:rsidRPr="00A846F8" w:rsidRDefault="00A846F8" w:rsidP="00A846F8">
      <w:pPr>
        <w:spacing w:before="100" w:beforeAutospacing="1" w:after="100" w:afterAutospacing="1"/>
        <w:ind w:left="720"/>
        <w:rPr>
          <w:rFonts w:asciiTheme="majorHAnsi" w:eastAsia="Times New Roman" w:hAnsiTheme="majorHAnsi" w:cstheme="majorHAnsi"/>
          <w:color w:val="000000"/>
          <w:szCs w:val="24"/>
          <w:lang w:eastAsia="de-AT"/>
        </w:rPr>
      </w:pPr>
    </w:p>
    <w:p w14:paraId="33F09991" w14:textId="77777777" w:rsidR="00A846F8" w:rsidRPr="00A846F8" w:rsidRDefault="00A846F8" w:rsidP="00A846F8">
      <w:pPr>
        <w:pStyle w:val="berschrift3"/>
        <w:shd w:val="clear" w:color="auto" w:fill="FFFFFF"/>
        <w:spacing w:before="0" w:beforeAutospacing="0" w:after="240" w:afterAutospacing="0"/>
        <w:rPr>
          <w:rFonts w:asciiTheme="majorHAnsi" w:hAnsiTheme="majorHAnsi" w:cstheme="majorHAnsi"/>
          <w:caps/>
          <w:color w:val="000000"/>
        </w:rPr>
      </w:pPr>
    </w:p>
    <w:p w14:paraId="27ADE854" w14:textId="77777777" w:rsidR="00A846F8" w:rsidRPr="00A846F8" w:rsidRDefault="00A846F8" w:rsidP="00A846F8">
      <w:pPr>
        <w:pStyle w:val="berschrift3"/>
        <w:shd w:val="clear" w:color="auto" w:fill="FFFFFF"/>
        <w:spacing w:before="0" w:beforeAutospacing="0" w:after="240" w:afterAutospacing="0"/>
        <w:rPr>
          <w:rFonts w:asciiTheme="majorHAnsi" w:hAnsiTheme="majorHAnsi" w:cstheme="majorHAnsi"/>
          <w:caps/>
          <w:color w:val="000000"/>
        </w:rPr>
      </w:pPr>
    </w:p>
    <w:p w14:paraId="72B93CE1" w14:textId="304023E5" w:rsidR="00A846F8" w:rsidRPr="00A846F8" w:rsidRDefault="00A846F8" w:rsidP="00A846F8">
      <w:pPr>
        <w:pStyle w:val="berschrift3"/>
        <w:shd w:val="clear" w:color="auto" w:fill="FFFFFF"/>
        <w:spacing w:before="0" w:beforeAutospacing="0" w:after="240" w:afterAutospacing="0"/>
        <w:rPr>
          <w:rFonts w:asciiTheme="majorHAnsi" w:hAnsiTheme="majorHAnsi" w:cstheme="majorHAnsi"/>
          <w:caps/>
          <w:color w:val="000000"/>
        </w:rPr>
      </w:pPr>
      <w:r w:rsidRPr="00A846F8">
        <w:rPr>
          <w:rFonts w:asciiTheme="majorHAnsi" w:hAnsiTheme="majorHAnsi" w:cstheme="majorHAnsi"/>
          <w:caps/>
          <w:color w:val="000000"/>
        </w:rPr>
        <w:t>PHASENMODELL ZUR BEWÄLTIGUNG VON KRISEN NACH KÜBLER-ROSS</w:t>
      </w:r>
    </w:p>
    <w:p w14:paraId="47617076" w14:textId="77777777" w:rsidR="00A846F8" w:rsidRPr="00A846F8" w:rsidRDefault="00A846F8" w:rsidP="00A846F8">
      <w:pPr>
        <w:pStyle w:val="StandardWeb"/>
        <w:shd w:val="clear" w:color="auto" w:fill="FFFFFF"/>
        <w:spacing w:before="0" w:beforeAutospacing="0" w:after="360" w:afterAutospacing="0"/>
        <w:rPr>
          <w:rFonts w:asciiTheme="majorHAnsi" w:hAnsiTheme="majorHAnsi" w:cstheme="majorHAnsi"/>
          <w:color w:val="000000"/>
        </w:rPr>
      </w:pPr>
      <w:r w:rsidRPr="00A846F8">
        <w:rPr>
          <w:rFonts w:asciiTheme="majorHAnsi" w:hAnsiTheme="majorHAnsi" w:cstheme="majorHAnsi"/>
          <w:color w:val="000000"/>
        </w:rPr>
        <w:t xml:space="preserve">In ausgedehnter teilnehmender Beobachtung und basierend auf den Erkenntnissen anderer AutorInnen wie Beatrix Cobb, John Bowlby, Colin Murray Parkes </w:t>
      </w:r>
      <w:proofErr w:type="gramStart"/>
      <w:r w:rsidRPr="00A846F8">
        <w:rPr>
          <w:rFonts w:asciiTheme="majorHAnsi" w:hAnsiTheme="majorHAnsi" w:cstheme="majorHAnsi"/>
          <w:color w:val="000000"/>
        </w:rPr>
        <w:t>u.a.[</w:t>
      </w:r>
      <w:proofErr w:type="gramEnd"/>
      <w:r w:rsidRPr="00A846F8">
        <w:rPr>
          <w:rFonts w:asciiTheme="majorHAnsi" w:hAnsiTheme="majorHAnsi" w:cstheme="majorHAnsi"/>
          <w:color w:val="000000"/>
        </w:rPr>
        <w:t>1] ist auch das bekannte Phasenmodell zur Bewältigung von Krisen der berühmten Schweizer Ärztin Elisabeth Kübler-Ross[2] entstanden. Es zählt </w:t>
      </w:r>
      <w:r w:rsidRPr="00A846F8">
        <w:rPr>
          <w:rStyle w:val="Fett"/>
          <w:rFonts w:asciiTheme="majorHAnsi" w:hAnsiTheme="majorHAnsi" w:cstheme="majorHAnsi"/>
          <w:color w:val="000000"/>
        </w:rPr>
        <w:t>5 ineinander übergehende Abschnitte</w:t>
      </w:r>
      <w:r w:rsidRPr="00A846F8">
        <w:rPr>
          <w:rFonts w:asciiTheme="majorHAnsi" w:hAnsiTheme="majorHAnsi" w:cstheme="majorHAnsi"/>
          <w:color w:val="000000"/>
        </w:rPr>
        <w:t> und hat vor allem das äußere wie innere </w:t>
      </w:r>
      <w:r w:rsidRPr="00A846F8">
        <w:rPr>
          <w:rStyle w:val="Fett"/>
          <w:rFonts w:asciiTheme="majorHAnsi" w:hAnsiTheme="majorHAnsi" w:cstheme="majorHAnsi"/>
          <w:color w:val="000000"/>
        </w:rPr>
        <w:t>Verhalten</w:t>
      </w:r>
      <w:r w:rsidRPr="00A846F8">
        <w:rPr>
          <w:rFonts w:asciiTheme="majorHAnsi" w:hAnsiTheme="majorHAnsi" w:cstheme="majorHAnsi"/>
          <w:color w:val="000000"/>
        </w:rPr>
        <w:t> im Blick.</w:t>
      </w:r>
    </w:p>
    <w:p w14:paraId="002427ED" w14:textId="77777777" w:rsidR="00A846F8" w:rsidRPr="00A846F8" w:rsidRDefault="00A846F8" w:rsidP="00A846F8">
      <w:pPr>
        <w:pStyle w:val="StandardWeb"/>
        <w:shd w:val="clear" w:color="auto" w:fill="FFFFFF"/>
        <w:spacing w:before="0" w:beforeAutospacing="0" w:after="360" w:afterAutospacing="0"/>
        <w:rPr>
          <w:rFonts w:asciiTheme="majorHAnsi" w:hAnsiTheme="majorHAnsi" w:cstheme="majorHAnsi"/>
          <w:color w:val="000000"/>
        </w:rPr>
      </w:pPr>
      <w:r w:rsidRPr="00A846F8">
        <w:rPr>
          <w:rFonts w:asciiTheme="majorHAnsi" w:hAnsiTheme="majorHAnsi" w:cstheme="majorHAnsi"/>
          <w:color w:val="000000"/>
        </w:rPr>
        <w:t>Übertragen auf die Situation einer lebensbedrohlichen Erkrankung kann man es so beschreiben:</w:t>
      </w:r>
    </w:p>
    <w:p w14:paraId="061C6666" w14:textId="77777777" w:rsidR="00A846F8" w:rsidRPr="00A846F8" w:rsidRDefault="00A846F8" w:rsidP="00A846F8">
      <w:pPr>
        <w:numPr>
          <w:ilvl w:val="0"/>
          <w:numId w:val="1"/>
        </w:numPr>
        <w:shd w:val="clear" w:color="auto" w:fill="FFFFFF"/>
        <w:spacing w:before="100" w:beforeAutospacing="1" w:after="100" w:afterAutospacing="1" w:line="240" w:lineRule="auto"/>
        <w:rPr>
          <w:rFonts w:asciiTheme="majorHAnsi" w:hAnsiTheme="majorHAnsi" w:cstheme="majorHAnsi"/>
          <w:color w:val="000000"/>
        </w:rPr>
      </w:pPr>
      <w:r w:rsidRPr="00A846F8">
        <w:rPr>
          <w:rFonts w:asciiTheme="majorHAnsi" w:hAnsiTheme="majorHAnsi" w:cstheme="majorHAnsi"/>
          <w:color w:val="000000"/>
        </w:rPr>
        <w:t>Die erste Phase ist durch </w:t>
      </w:r>
      <w:r w:rsidRPr="00A846F8">
        <w:rPr>
          <w:rStyle w:val="Fett"/>
          <w:rFonts w:asciiTheme="majorHAnsi" w:hAnsiTheme="majorHAnsi" w:cstheme="majorHAnsi"/>
          <w:color w:val="000000"/>
        </w:rPr>
        <w:t>Leugnung</w:t>
      </w:r>
      <w:r w:rsidRPr="00A846F8">
        <w:rPr>
          <w:rFonts w:asciiTheme="majorHAnsi" w:hAnsiTheme="majorHAnsi" w:cstheme="majorHAnsi"/>
          <w:color w:val="000000"/>
        </w:rPr>
        <w:t> und ein Nicht-Wahrhaben-Wollen des nahenden Todes bzw. der Diagnose „unheilbar“ gekennzeichnet. Dabei isolieren sich viele Menschen auch.</w:t>
      </w:r>
    </w:p>
    <w:p w14:paraId="0A910C7C" w14:textId="77777777" w:rsidR="00A846F8" w:rsidRPr="00A846F8" w:rsidRDefault="00A846F8" w:rsidP="00A846F8">
      <w:pPr>
        <w:numPr>
          <w:ilvl w:val="0"/>
          <w:numId w:val="1"/>
        </w:numPr>
        <w:shd w:val="clear" w:color="auto" w:fill="FFFFFF"/>
        <w:spacing w:before="100" w:beforeAutospacing="1" w:after="100" w:afterAutospacing="1" w:line="240" w:lineRule="auto"/>
        <w:rPr>
          <w:rFonts w:asciiTheme="majorHAnsi" w:hAnsiTheme="majorHAnsi" w:cstheme="majorHAnsi"/>
          <w:color w:val="000000"/>
        </w:rPr>
      </w:pPr>
      <w:r w:rsidRPr="00A846F8">
        <w:rPr>
          <w:rStyle w:val="Fett"/>
          <w:rFonts w:asciiTheme="majorHAnsi" w:hAnsiTheme="majorHAnsi" w:cstheme="majorHAnsi"/>
          <w:color w:val="000000"/>
        </w:rPr>
        <w:t>Ärger</w:t>
      </w:r>
      <w:r w:rsidRPr="00A846F8">
        <w:rPr>
          <w:rFonts w:asciiTheme="majorHAnsi" w:hAnsiTheme="majorHAnsi" w:cstheme="majorHAnsi"/>
          <w:color w:val="000000"/>
        </w:rPr>
        <w:t> und Zorn prägen die zweite Phase. Häufig fühlen sich die Kranken um ihre Zukunftspläne und Lebenswünsche betrogen.</w:t>
      </w:r>
    </w:p>
    <w:p w14:paraId="7998A016" w14:textId="77777777" w:rsidR="00A846F8" w:rsidRPr="00A846F8" w:rsidRDefault="00A846F8" w:rsidP="00A846F8">
      <w:pPr>
        <w:numPr>
          <w:ilvl w:val="0"/>
          <w:numId w:val="1"/>
        </w:numPr>
        <w:shd w:val="clear" w:color="auto" w:fill="FFFFFF"/>
        <w:spacing w:before="100" w:beforeAutospacing="1" w:after="100" w:afterAutospacing="1" w:line="240" w:lineRule="auto"/>
        <w:rPr>
          <w:rFonts w:asciiTheme="majorHAnsi" w:hAnsiTheme="majorHAnsi" w:cstheme="majorHAnsi"/>
          <w:color w:val="000000"/>
        </w:rPr>
      </w:pPr>
      <w:r w:rsidRPr="00A846F8">
        <w:rPr>
          <w:rFonts w:asciiTheme="majorHAnsi" w:hAnsiTheme="majorHAnsi" w:cstheme="majorHAnsi"/>
          <w:color w:val="000000"/>
        </w:rPr>
        <w:t>Dem folgt oft eine Periode des </w:t>
      </w:r>
      <w:r w:rsidRPr="00A846F8">
        <w:rPr>
          <w:rStyle w:val="Fett"/>
          <w:rFonts w:asciiTheme="majorHAnsi" w:hAnsiTheme="majorHAnsi" w:cstheme="majorHAnsi"/>
          <w:color w:val="000000"/>
        </w:rPr>
        <w:t>Verhandelns</w:t>
      </w:r>
      <w:r w:rsidRPr="00A846F8">
        <w:rPr>
          <w:rFonts w:asciiTheme="majorHAnsi" w:hAnsiTheme="majorHAnsi" w:cstheme="majorHAnsi"/>
          <w:color w:val="000000"/>
        </w:rPr>
        <w:t>, zumeist mit Gott oder einer höheren Autorität. Dabei werden Gelübde im Tausch für Heilung oder Lebenszeitverlängerung angeboten.</w:t>
      </w:r>
    </w:p>
    <w:p w14:paraId="6F425800" w14:textId="77777777" w:rsidR="00A846F8" w:rsidRPr="00A846F8" w:rsidRDefault="00A846F8" w:rsidP="00A846F8">
      <w:pPr>
        <w:numPr>
          <w:ilvl w:val="0"/>
          <w:numId w:val="1"/>
        </w:numPr>
        <w:shd w:val="clear" w:color="auto" w:fill="FFFFFF"/>
        <w:spacing w:before="100" w:beforeAutospacing="1" w:after="100" w:afterAutospacing="1" w:line="240" w:lineRule="auto"/>
        <w:rPr>
          <w:rFonts w:asciiTheme="majorHAnsi" w:hAnsiTheme="majorHAnsi" w:cstheme="majorHAnsi"/>
          <w:color w:val="000000"/>
        </w:rPr>
      </w:pPr>
      <w:r w:rsidRPr="00A846F8">
        <w:rPr>
          <w:rFonts w:asciiTheme="majorHAnsi" w:hAnsiTheme="majorHAnsi" w:cstheme="majorHAnsi"/>
          <w:color w:val="000000"/>
        </w:rPr>
        <w:t>Kommt dieses „Geschäft“ nicht zustande, schließt sich zumeist eine </w:t>
      </w:r>
      <w:r w:rsidRPr="00A846F8">
        <w:rPr>
          <w:rStyle w:val="Fett"/>
          <w:rFonts w:asciiTheme="majorHAnsi" w:hAnsiTheme="majorHAnsi" w:cstheme="majorHAnsi"/>
          <w:color w:val="000000"/>
        </w:rPr>
        <w:t>depressive Phase</w:t>
      </w:r>
      <w:r w:rsidRPr="00A846F8">
        <w:rPr>
          <w:rFonts w:asciiTheme="majorHAnsi" w:hAnsiTheme="majorHAnsi" w:cstheme="majorHAnsi"/>
          <w:color w:val="000000"/>
        </w:rPr>
        <w:t> an. In der gesteht sich der bzw. die Kranke die Unausweichlichkeit des Todes ein.</w:t>
      </w:r>
    </w:p>
    <w:p w14:paraId="5F36DEBA" w14:textId="77777777" w:rsidR="00A846F8" w:rsidRPr="00A846F8" w:rsidRDefault="00A846F8" w:rsidP="00A846F8">
      <w:pPr>
        <w:numPr>
          <w:ilvl w:val="0"/>
          <w:numId w:val="1"/>
        </w:numPr>
        <w:shd w:val="clear" w:color="auto" w:fill="FFFFFF"/>
        <w:spacing w:before="100" w:beforeAutospacing="1" w:after="100" w:afterAutospacing="1" w:line="240" w:lineRule="auto"/>
        <w:rPr>
          <w:rFonts w:asciiTheme="majorHAnsi" w:hAnsiTheme="majorHAnsi" w:cstheme="majorHAnsi"/>
          <w:color w:val="000000"/>
        </w:rPr>
      </w:pPr>
      <w:r w:rsidRPr="00A846F8">
        <w:rPr>
          <w:rFonts w:asciiTheme="majorHAnsi" w:hAnsiTheme="majorHAnsi" w:cstheme="majorHAnsi"/>
          <w:color w:val="000000"/>
        </w:rPr>
        <w:t>In der letzten Phase geben die Sterbenden ihre </w:t>
      </w:r>
      <w:r w:rsidRPr="00A846F8">
        <w:rPr>
          <w:rStyle w:val="Fett"/>
          <w:rFonts w:asciiTheme="majorHAnsi" w:hAnsiTheme="majorHAnsi" w:cstheme="majorHAnsi"/>
          <w:color w:val="000000"/>
        </w:rPr>
        <w:t>Zustimmung</w:t>
      </w:r>
      <w:r w:rsidRPr="00A846F8">
        <w:rPr>
          <w:rFonts w:asciiTheme="majorHAnsi" w:hAnsiTheme="majorHAnsi" w:cstheme="majorHAnsi"/>
          <w:color w:val="000000"/>
        </w:rPr>
        <w:t> und beginnen, das Leben loszulassen.</w:t>
      </w:r>
    </w:p>
    <w:p w14:paraId="570B609B" w14:textId="77777777" w:rsidR="00A846F8" w:rsidRPr="00A846F8" w:rsidRDefault="00A846F8" w:rsidP="00A846F8">
      <w:pPr>
        <w:rPr>
          <w:rFonts w:asciiTheme="majorHAnsi" w:hAnsiTheme="majorHAnsi" w:cstheme="majorHAnsi"/>
        </w:rPr>
      </w:pPr>
    </w:p>
    <w:p w14:paraId="12E1F469" w14:textId="77777777" w:rsidR="00A846F8" w:rsidRPr="00A846F8" w:rsidRDefault="00A846F8">
      <w:pPr>
        <w:rPr>
          <w:rFonts w:asciiTheme="majorHAnsi" w:hAnsiTheme="majorHAnsi" w:cstheme="majorHAnsi"/>
        </w:rPr>
      </w:pPr>
    </w:p>
    <w:sectPr w:rsidR="00A846F8" w:rsidRPr="00A846F8" w:rsidSect="00F0596C">
      <w:headerReference w:type="default" r:id="rId7"/>
      <w:footerReference w:type="default" r:id="rId8"/>
      <w:pgSz w:w="11906" w:h="16838"/>
      <w:pgMar w:top="1417" w:right="70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D170" w14:textId="77777777" w:rsidR="00F46F68" w:rsidRDefault="00F46F68" w:rsidP="00F0596C">
      <w:pPr>
        <w:spacing w:after="0" w:line="240" w:lineRule="auto"/>
      </w:pPr>
      <w:r>
        <w:separator/>
      </w:r>
    </w:p>
  </w:endnote>
  <w:endnote w:type="continuationSeparator" w:id="0">
    <w:p w14:paraId="63C6BA2B" w14:textId="77777777" w:rsidR="00F46F68" w:rsidRDefault="00F46F68" w:rsidP="00F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6391" w14:textId="77777777" w:rsidR="00F0596C" w:rsidRPr="00F0596C" w:rsidRDefault="00F0596C" w:rsidP="00F0596C">
    <w:pPr>
      <w:pStyle w:val="EinfAbs"/>
      <w:spacing w:line="240" w:lineRule="auto"/>
      <w:rPr>
        <w:rFonts w:ascii="Arial" w:hAnsi="Arial" w:cs="Arial"/>
        <w:color w:val="A6A6A6" w:themeColor="background1" w:themeShade="A6"/>
        <w:spacing w:val="5"/>
        <w:sz w:val="18"/>
        <w:szCs w:val="18"/>
      </w:rPr>
    </w:pPr>
    <w:r w:rsidRPr="00F0596C">
      <w:rPr>
        <w:rFonts w:ascii="Arial" w:hAnsi="Arial" w:cs="Arial"/>
        <w:color w:val="A6A6A6" w:themeColor="background1" w:themeShade="A6"/>
        <w:spacing w:val="5"/>
        <w:sz w:val="18"/>
        <w:szCs w:val="18"/>
      </w:rPr>
      <w:t>A-6972 Fußach, Riedle 27</w:t>
    </w:r>
  </w:p>
  <w:p w14:paraId="2154848C"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T +43 676 6113399</w:t>
    </w:r>
  </w:p>
  <w:p w14:paraId="426DC4A7" w14:textId="77777777" w:rsidR="00F0596C" w:rsidRPr="00F0596C" w:rsidRDefault="00F0596C" w:rsidP="00F0596C">
    <w:pPr>
      <w:pStyle w:val="EinfAbs"/>
      <w:spacing w:line="240" w:lineRule="auto"/>
      <w:rPr>
        <w:rFonts w:ascii="Arial" w:hAnsi="Arial" w:cs="Arial"/>
        <w:color w:val="A6A6A6" w:themeColor="background1" w:themeShade="A6"/>
        <w:sz w:val="18"/>
        <w:szCs w:val="18"/>
      </w:rPr>
    </w:pPr>
    <w:r w:rsidRPr="00F0596C">
      <w:rPr>
        <w:rFonts w:ascii="Arial" w:hAnsi="Arial" w:cs="Arial"/>
        <w:color w:val="A6A6A6" w:themeColor="background1" w:themeShade="A6"/>
        <w:sz w:val="18"/>
        <w:szCs w:val="18"/>
      </w:rPr>
      <w:t>Lebenskreise.at</w:t>
    </w:r>
  </w:p>
  <w:p w14:paraId="081E13B0" w14:textId="77777777" w:rsidR="00F0596C" w:rsidRPr="00F0596C" w:rsidRDefault="00F0596C" w:rsidP="00F0596C">
    <w:pPr>
      <w:pStyle w:val="Fuzeile"/>
      <w:rPr>
        <w:color w:val="A6A6A6" w:themeColor="background1" w:themeShade="A6"/>
      </w:rPr>
    </w:pPr>
    <w:r w:rsidRPr="00F0596C">
      <w:rPr>
        <w:rFonts w:ascii="Arial" w:hAnsi="Arial" w:cs="Arial"/>
        <w:color w:val="A6A6A6" w:themeColor="background1" w:themeShade="A6"/>
        <w:spacing w:val="5"/>
        <w:sz w:val="18"/>
        <w:szCs w:val="18"/>
      </w:rPr>
      <w:t>a.bechter-boss</w:t>
    </w:r>
    <w:r w:rsidRPr="00F0596C">
      <w:rPr>
        <w:rFonts w:ascii="Arial" w:hAnsi="Arial" w:cs="Arial"/>
        <w:color w:val="A6A6A6" w:themeColor="background1" w:themeShade="A6"/>
        <w:sz w:val="18"/>
        <w:szCs w:val="18"/>
      </w:rPr>
      <w:t>@lebenskreise.at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9856" w14:textId="77777777" w:rsidR="00F46F68" w:rsidRDefault="00F46F68" w:rsidP="00F0596C">
      <w:pPr>
        <w:spacing w:after="0" w:line="240" w:lineRule="auto"/>
      </w:pPr>
      <w:r>
        <w:separator/>
      </w:r>
    </w:p>
  </w:footnote>
  <w:footnote w:type="continuationSeparator" w:id="0">
    <w:p w14:paraId="13BA09E4" w14:textId="77777777" w:rsidR="00F46F68" w:rsidRDefault="00F46F68" w:rsidP="00F0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4D86" w14:textId="2C4357A3" w:rsidR="00F0596C" w:rsidRDefault="00A846F8" w:rsidP="00F0596C">
    <w:pPr>
      <w:pStyle w:val="EinfAbs"/>
      <w:rPr>
        <w:rFonts w:ascii="Arial" w:hAnsi="Arial" w:cs="Arial"/>
        <w:color w:val="A6A6A6" w:themeColor="background1" w:themeShade="A6"/>
        <w:spacing w:val="6"/>
        <w:sz w:val="22"/>
        <w:szCs w:val="22"/>
      </w:rPr>
    </w:pPr>
    <w:sdt>
      <w:sdtPr>
        <w:rPr>
          <w:rFonts w:ascii="Arial" w:hAnsi="Arial" w:cs="Arial"/>
          <w:color w:val="A6A6A6" w:themeColor="background1" w:themeShade="A6"/>
          <w:spacing w:val="6"/>
          <w:sz w:val="22"/>
          <w:szCs w:val="22"/>
        </w:rPr>
        <w:id w:val="1561050431"/>
        <w:docPartObj>
          <w:docPartGallery w:val="Page Numbers (Margins)"/>
          <w:docPartUnique/>
        </w:docPartObj>
      </w:sdtPr>
      <w:sdtContent>
        <w:r w:rsidRPr="00A846F8">
          <w:rPr>
            <w:rFonts w:ascii="Arial" w:hAnsi="Arial" w:cs="Arial"/>
            <w:noProof/>
            <w:color w:val="A6A6A6" w:themeColor="background1" w:themeShade="A6"/>
            <w:spacing w:val="6"/>
            <w:sz w:val="22"/>
            <w:szCs w:val="22"/>
          </w:rPr>
          <mc:AlternateContent>
            <mc:Choice Requires="wps">
              <w:drawing>
                <wp:anchor distT="0" distB="0" distL="114300" distR="114300" simplePos="0" relativeHeight="251660288" behindDoc="0" locked="0" layoutInCell="0" allowOverlap="1" wp14:anchorId="13A14A8B" wp14:editId="63D1747C">
                  <wp:simplePos x="0" y="0"/>
                  <wp:positionH relativeFrom="lef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B57FA1" w14:textId="77777777" w:rsidR="00A846F8" w:rsidRDefault="00A846F8" w:rsidP="00A846F8">
                              <w:pPr>
                                <w:jc w:val="center"/>
                                <w:rPr>
                                  <w:rStyle w:val="Seitenzahl"/>
                                  <w:szCs w:val="24"/>
                                </w:rPr>
                              </w:pPr>
                              <w:r>
                                <w:fldChar w:fldCharType="begin"/>
                              </w:r>
                              <w:r>
                                <w:instrText>PAGE    \* MERGEFORMAT</w:instrText>
                              </w:r>
                              <w:r>
                                <w:fldChar w:fldCharType="separate"/>
                              </w:r>
                              <w:r>
                                <w:rPr>
                                  <w:rStyle w:val="Seitenzahl"/>
                                  <w:b/>
                                  <w:bCs/>
                                  <w:color w:val="FFFFFF" w:themeColor="background1"/>
                                  <w:sz w:val="24"/>
                                  <w:szCs w:val="24"/>
                                  <w:lang w:val="de-DE"/>
                                </w:rPr>
                                <w:t>2</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14A8B" id="Ellipse 2"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lef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2DB57FA1" w14:textId="77777777" w:rsidR="00A846F8" w:rsidRDefault="00A846F8" w:rsidP="00A846F8">
                        <w:pPr>
                          <w:jc w:val="center"/>
                          <w:rPr>
                            <w:rStyle w:val="Seitenzahl"/>
                            <w:szCs w:val="24"/>
                          </w:rPr>
                        </w:pPr>
                        <w:r>
                          <w:fldChar w:fldCharType="begin"/>
                        </w:r>
                        <w:r>
                          <w:instrText>PAGE    \* MERGEFORMAT</w:instrText>
                        </w:r>
                        <w:r>
                          <w:fldChar w:fldCharType="separate"/>
                        </w:r>
                        <w:r>
                          <w:rPr>
                            <w:rStyle w:val="Seitenzahl"/>
                            <w:b/>
                            <w:bCs/>
                            <w:color w:val="FFFFFF" w:themeColor="background1"/>
                            <w:sz w:val="24"/>
                            <w:szCs w:val="24"/>
                            <w:lang w:val="de-DE"/>
                          </w:rPr>
                          <w:t>2</w:t>
                        </w:r>
                        <w:r>
                          <w:rPr>
                            <w:rStyle w:val="Seitenzahl"/>
                            <w:b/>
                            <w:bCs/>
                            <w:color w:val="FFFFFF" w:themeColor="background1"/>
                            <w:sz w:val="24"/>
                            <w:szCs w:val="24"/>
                          </w:rPr>
                          <w:fldChar w:fldCharType="end"/>
                        </w:r>
                      </w:p>
                    </w:txbxContent>
                  </v:textbox>
                  <w10:wrap anchorx="margin" anchory="page"/>
                </v:oval>
              </w:pict>
            </mc:Fallback>
          </mc:AlternateContent>
        </w:r>
      </w:sdtContent>
    </w:sdt>
    <w:r w:rsidR="00F0596C" w:rsidRPr="00F0596C">
      <w:rPr>
        <w:noProof/>
        <w:color w:val="A6A6A6" w:themeColor="background1" w:themeShade="A6"/>
        <w:lang w:eastAsia="de-AT"/>
      </w:rPr>
      <w:drawing>
        <wp:anchor distT="0" distB="0" distL="114300" distR="114300" simplePos="0" relativeHeight="251658240" behindDoc="1" locked="0" layoutInCell="1" allowOverlap="1" wp14:anchorId="59A7BFE8" wp14:editId="137A19C6">
          <wp:simplePos x="0" y="0"/>
          <wp:positionH relativeFrom="margin">
            <wp:posOffset>4911090</wp:posOffset>
          </wp:positionH>
          <wp:positionV relativeFrom="paragraph">
            <wp:posOffset>-208280</wp:posOffset>
          </wp:positionV>
          <wp:extent cx="1300524" cy="986154"/>
          <wp:effectExtent l="0" t="0" r="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benskreis_16.10_.jpg"/>
                  <pic:cNvPicPr/>
                </pic:nvPicPr>
                <pic:blipFill rotWithShape="1">
                  <a:blip r:embed="rId1" cstate="print">
                    <a:extLst>
                      <a:ext uri="{28A0092B-C50C-407E-A947-70E740481C1C}">
                        <a14:useLocalDpi xmlns:a14="http://schemas.microsoft.com/office/drawing/2010/main" val="0"/>
                      </a:ext>
                    </a:extLst>
                  </a:blip>
                  <a:srcRect l="2646" t="10540" r="23446" b="10056"/>
                  <a:stretch/>
                </pic:blipFill>
                <pic:spPr bwMode="auto">
                  <a:xfrm>
                    <a:off x="0" y="0"/>
                    <a:ext cx="1300524" cy="9861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74E425" w14:textId="77777777" w:rsidR="00F0596C" w:rsidRDefault="00F0596C" w:rsidP="00F0596C">
    <w:pPr>
      <w:pStyle w:val="EinfAbs"/>
      <w:rPr>
        <w:rFonts w:ascii="Arial" w:hAnsi="Arial" w:cs="Arial"/>
        <w:color w:val="A6A6A6" w:themeColor="background1" w:themeShade="A6"/>
        <w:spacing w:val="6"/>
        <w:sz w:val="22"/>
        <w:szCs w:val="22"/>
      </w:rPr>
    </w:pPr>
  </w:p>
  <w:p w14:paraId="426150CF" w14:textId="77777777" w:rsidR="00F0596C" w:rsidRPr="00F0596C" w:rsidRDefault="00F0596C" w:rsidP="00F0596C">
    <w:pPr>
      <w:pStyle w:val="EinfAbs"/>
      <w:rPr>
        <w:rFonts w:ascii="Arial" w:hAnsi="Arial" w:cs="Arial"/>
        <w:color w:val="A6A6A6" w:themeColor="background1" w:themeShade="A6"/>
        <w:spacing w:val="6"/>
        <w:sz w:val="22"/>
        <w:szCs w:val="22"/>
      </w:rPr>
    </w:pPr>
    <w:r w:rsidRPr="00F0596C">
      <w:rPr>
        <w:rFonts w:ascii="Arial" w:hAnsi="Arial" w:cs="Arial"/>
        <w:color w:val="A6A6A6" w:themeColor="background1" w:themeShade="A6"/>
        <w:spacing w:val="6"/>
        <w:sz w:val="22"/>
        <w:szCs w:val="22"/>
      </w:rPr>
      <w:t>ASTRID BECHTER-BOSS</w:t>
    </w:r>
  </w:p>
  <w:p w14:paraId="2A65E84C" w14:textId="5D9233D8" w:rsidR="00F0596C" w:rsidRDefault="00F0596C" w:rsidP="00F0596C">
    <w:pPr>
      <w:pStyle w:val="Kopfzeile"/>
      <w:tabs>
        <w:tab w:val="clear" w:pos="4536"/>
        <w:tab w:val="clear" w:pos="9072"/>
        <w:tab w:val="center" w:pos="709"/>
      </w:tabs>
    </w:pPr>
    <w:r w:rsidRPr="00F0596C">
      <w:rPr>
        <w:rFonts w:ascii="Arial" w:hAnsi="Arial" w:cs="Arial"/>
        <w:color w:val="A6A6A6" w:themeColor="background1" w:themeShade="A6"/>
        <w:spacing w:val="4"/>
      </w:rPr>
      <w:t>Krisen-Trauer-Lebensbegleitung</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06A"/>
    <w:multiLevelType w:val="multilevel"/>
    <w:tmpl w:val="033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B54FA"/>
    <w:multiLevelType w:val="multilevel"/>
    <w:tmpl w:val="6A6A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6C"/>
    <w:rsid w:val="00027960"/>
    <w:rsid w:val="002E471F"/>
    <w:rsid w:val="005E4B6B"/>
    <w:rsid w:val="00A56BCB"/>
    <w:rsid w:val="00A846F8"/>
    <w:rsid w:val="00DD6D0F"/>
    <w:rsid w:val="00F0596C"/>
    <w:rsid w:val="00F46F68"/>
    <w:rsid w:val="00F65147"/>
    <w:rsid w:val="00FB66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2673E"/>
  <w15:chartTrackingRefBased/>
  <w15:docId w15:val="{17558C0B-7C7B-48E7-913A-ABE7F492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846F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59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596C"/>
  </w:style>
  <w:style w:type="paragraph" w:styleId="Fuzeile">
    <w:name w:val="footer"/>
    <w:basedOn w:val="Standard"/>
    <w:link w:val="FuzeileZchn"/>
    <w:uiPriority w:val="99"/>
    <w:unhideWhenUsed/>
    <w:rsid w:val="00F059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596C"/>
  </w:style>
  <w:style w:type="paragraph" w:customStyle="1" w:styleId="KeinAbsatzformat">
    <w:name w:val="[Kein Absatzformat]"/>
    <w:rsid w:val="00F0596C"/>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0596C"/>
  </w:style>
  <w:style w:type="character" w:customStyle="1" w:styleId="berschrift3Zchn">
    <w:name w:val="Überschrift 3 Zchn"/>
    <w:basedOn w:val="Absatz-Standardschriftart"/>
    <w:link w:val="berschrift3"/>
    <w:uiPriority w:val="9"/>
    <w:rsid w:val="00A846F8"/>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A846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846F8"/>
    <w:rPr>
      <w:b/>
      <w:bCs/>
    </w:rPr>
  </w:style>
  <w:style w:type="character" w:styleId="Seitenzahl">
    <w:name w:val="page number"/>
    <w:basedOn w:val="Absatz-Standardschriftart"/>
    <w:uiPriority w:val="99"/>
    <w:unhideWhenUsed/>
    <w:rsid w:val="00A8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 Herburger Manuela</dc:creator>
  <cp:keywords/>
  <dc:description/>
  <cp:lastModifiedBy>a.bechter-boss@lebenskreise.at</cp:lastModifiedBy>
  <cp:revision>4</cp:revision>
  <dcterms:created xsi:type="dcterms:W3CDTF">2019-01-09T07:06:00Z</dcterms:created>
  <dcterms:modified xsi:type="dcterms:W3CDTF">2022-03-09T13:41:00Z</dcterms:modified>
</cp:coreProperties>
</file>